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19" w:rsidRPr="00666F68" w:rsidRDefault="0046216C" w:rsidP="00071DF3">
      <w:pPr>
        <w:jc w:val="both"/>
        <w:rPr>
          <w:b/>
        </w:rPr>
      </w:pPr>
      <w:r w:rsidRPr="00666F68">
        <w:rPr>
          <w:b/>
        </w:rPr>
        <w:t>M25 Consortium of Academic Libraries</w:t>
      </w:r>
    </w:p>
    <w:p w:rsidR="0046216C" w:rsidRPr="00666F68" w:rsidRDefault="0046216C" w:rsidP="00071DF3">
      <w:pPr>
        <w:jc w:val="both"/>
        <w:rPr>
          <w:b/>
        </w:rPr>
      </w:pPr>
    </w:p>
    <w:p w:rsidR="0046216C" w:rsidRPr="00666F68" w:rsidRDefault="0046216C" w:rsidP="00071DF3">
      <w:pPr>
        <w:jc w:val="both"/>
        <w:rPr>
          <w:b/>
        </w:rPr>
      </w:pPr>
      <w:r w:rsidRPr="00666F68">
        <w:rPr>
          <w:b/>
        </w:rPr>
        <w:t>Reserves</w:t>
      </w:r>
      <w:r w:rsidR="007A54FD">
        <w:rPr>
          <w:b/>
        </w:rPr>
        <w:t xml:space="preserve"> Policy</w:t>
      </w:r>
    </w:p>
    <w:p w:rsidR="0046216C" w:rsidRDefault="0046216C" w:rsidP="00071DF3">
      <w:pPr>
        <w:jc w:val="both"/>
      </w:pPr>
    </w:p>
    <w:p w:rsidR="006E5972" w:rsidRPr="006E5972" w:rsidRDefault="006E5972" w:rsidP="00071DF3">
      <w:pPr>
        <w:jc w:val="both"/>
        <w:rPr>
          <w:b/>
        </w:rPr>
      </w:pPr>
      <w:r w:rsidRPr="006E5972">
        <w:rPr>
          <w:b/>
        </w:rPr>
        <w:t>Income</w:t>
      </w:r>
    </w:p>
    <w:p w:rsidR="00DE2A8E" w:rsidRDefault="00DC5BDD" w:rsidP="00071DF3">
      <w:pPr>
        <w:jc w:val="both"/>
      </w:pPr>
      <w:bookmarkStart w:id="0" w:name="_GoBack"/>
      <w:bookmarkEnd w:id="0"/>
      <w:r>
        <w:t xml:space="preserve">M25 </w:t>
      </w:r>
      <w:r w:rsidR="0046216C">
        <w:t>Consortium income is largely derived from membership subscriptions</w:t>
      </w:r>
      <w:r w:rsidR="00DE2A8E">
        <w:t xml:space="preserve"> and is thus fairly stable and </w:t>
      </w:r>
      <w:r w:rsidR="00666F68">
        <w:t>predictable</w:t>
      </w:r>
      <w:r w:rsidR="00DE2A8E">
        <w:t>. At the point of preparing a budget an assumption is made that all members will continue their membership. There is some risk that some members may decide not to renew their subscriptions and a related risk that institutional mergers may lead to a reduction in subscription income.</w:t>
      </w:r>
    </w:p>
    <w:p w:rsidR="00666F68" w:rsidRDefault="00666F68" w:rsidP="00071DF3">
      <w:pPr>
        <w:jc w:val="both"/>
      </w:pPr>
    </w:p>
    <w:p w:rsidR="00666F68" w:rsidRDefault="00666F68" w:rsidP="00071DF3">
      <w:pPr>
        <w:jc w:val="both"/>
      </w:pPr>
      <w:r>
        <w:t xml:space="preserve">There is </w:t>
      </w:r>
      <w:r w:rsidR="00441B70">
        <w:t xml:space="preserve">some </w:t>
      </w:r>
      <w:r>
        <w:t>scope for additional income through sponsorship, for example of the annual conference.</w:t>
      </w:r>
      <w:r w:rsidR="00441B70">
        <w:t xml:space="preserve"> This is usually used to meet the costs of the event which is attracting the sponsorship.</w:t>
      </w:r>
    </w:p>
    <w:p w:rsidR="0046216C" w:rsidRDefault="0046216C" w:rsidP="00071DF3">
      <w:pPr>
        <w:jc w:val="both"/>
      </w:pPr>
    </w:p>
    <w:p w:rsidR="0046216C" w:rsidRPr="006E5972" w:rsidRDefault="0046216C" w:rsidP="00071DF3">
      <w:pPr>
        <w:jc w:val="both"/>
        <w:rPr>
          <w:b/>
        </w:rPr>
      </w:pPr>
      <w:r w:rsidRPr="006E5972">
        <w:rPr>
          <w:b/>
        </w:rPr>
        <w:t>Business continuity</w:t>
      </w:r>
    </w:p>
    <w:p w:rsidR="009666A7" w:rsidRDefault="00666F68" w:rsidP="00071DF3">
      <w:pPr>
        <w:jc w:val="both"/>
      </w:pPr>
      <w:r>
        <w:t xml:space="preserve">Reserves are required to ensure that the Consortium’s </w:t>
      </w:r>
      <w:r w:rsidR="009666A7">
        <w:t>activities</w:t>
      </w:r>
      <w:r>
        <w:t xml:space="preserve"> can continue in the </w:t>
      </w:r>
      <w:r w:rsidR="009666A7">
        <w:t>e</w:t>
      </w:r>
      <w:r>
        <w:t xml:space="preserve">vent of a reduction in </w:t>
      </w:r>
      <w:r w:rsidR="009666A7">
        <w:t xml:space="preserve">income </w:t>
      </w:r>
      <w:r w:rsidR="00BC7B8F">
        <w:t>or unexpected expenditure.</w:t>
      </w:r>
    </w:p>
    <w:p w:rsidR="00BC7B8F" w:rsidRDefault="00BC7B8F" w:rsidP="00071DF3">
      <w:pPr>
        <w:jc w:val="both"/>
      </w:pPr>
    </w:p>
    <w:p w:rsidR="009666A7" w:rsidRDefault="009666A7" w:rsidP="00071DF3">
      <w:pPr>
        <w:jc w:val="both"/>
      </w:pPr>
      <w:r>
        <w:t>Business activities that need to be continued are:</w:t>
      </w:r>
    </w:p>
    <w:p w:rsidR="009666A7" w:rsidRDefault="009666A7" w:rsidP="00071DF3">
      <w:pPr>
        <w:jc w:val="both"/>
      </w:pPr>
    </w:p>
    <w:p w:rsidR="009666A7" w:rsidRDefault="009666A7" w:rsidP="00071DF3">
      <w:pPr>
        <w:pStyle w:val="ListParagraph"/>
        <w:numPr>
          <w:ilvl w:val="0"/>
          <w:numId w:val="1"/>
        </w:numPr>
        <w:jc w:val="both"/>
      </w:pPr>
      <w:r>
        <w:t xml:space="preserve">Resource discovery </w:t>
      </w:r>
      <w:r w:rsidR="006E5972">
        <w:t>activities</w:t>
      </w:r>
      <w:r>
        <w:t xml:space="preserve"> (</w:t>
      </w:r>
      <w:r w:rsidR="00441B70">
        <w:t>Search25</w:t>
      </w:r>
      <w:r>
        <w:t>)</w:t>
      </w:r>
    </w:p>
    <w:p w:rsidR="00441B70" w:rsidRDefault="00441B70" w:rsidP="00071DF3">
      <w:pPr>
        <w:pStyle w:val="ListParagraph"/>
        <w:numPr>
          <w:ilvl w:val="0"/>
          <w:numId w:val="1"/>
        </w:numPr>
        <w:jc w:val="both"/>
      </w:pPr>
      <w:r>
        <w:t xml:space="preserve">Website </w:t>
      </w:r>
    </w:p>
    <w:p w:rsidR="009666A7" w:rsidRDefault="009666A7" w:rsidP="00071DF3">
      <w:pPr>
        <w:pStyle w:val="ListParagraph"/>
        <w:numPr>
          <w:ilvl w:val="0"/>
          <w:numId w:val="1"/>
        </w:numPr>
        <w:jc w:val="both"/>
      </w:pPr>
      <w:r>
        <w:t xml:space="preserve">Staff development </w:t>
      </w:r>
      <w:r w:rsidR="006E5972">
        <w:t>activities</w:t>
      </w:r>
      <w:r>
        <w:t xml:space="preserve"> (cpd25)</w:t>
      </w:r>
    </w:p>
    <w:p w:rsidR="00441B70" w:rsidRDefault="00441B70" w:rsidP="00071DF3">
      <w:pPr>
        <w:pStyle w:val="ListParagraph"/>
        <w:numPr>
          <w:ilvl w:val="0"/>
          <w:numId w:val="1"/>
        </w:numPr>
        <w:jc w:val="both"/>
      </w:pPr>
      <w:r>
        <w:t>Customer Services benchmarking database</w:t>
      </w:r>
    </w:p>
    <w:p w:rsidR="00FF782B" w:rsidRDefault="00FF782B" w:rsidP="00071DF3">
      <w:pPr>
        <w:pStyle w:val="ListParagraph"/>
        <w:numPr>
          <w:ilvl w:val="0"/>
          <w:numId w:val="1"/>
        </w:numPr>
        <w:jc w:val="both"/>
      </w:pPr>
      <w:r>
        <w:t>Directors Room &amp; Staff Room (online forums)</w:t>
      </w:r>
    </w:p>
    <w:p w:rsidR="009666A7" w:rsidRDefault="009666A7" w:rsidP="00071DF3">
      <w:pPr>
        <w:pStyle w:val="ListParagraph"/>
        <w:numPr>
          <w:ilvl w:val="0"/>
          <w:numId w:val="1"/>
        </w:numPr>
        <w:jc w:val="both"/>
      </w:pPr>
      <w:r>
        <w:t>Access scheme</w:t>
      </w:r>
    </w:p>
    <w:p w:rsidR="00197C16" w:rsidRDefault="00197C16" w:rsidP="00071DF3">
      <w:pPr>
        <w:pStyle w:val="ListParagraph"/>
        <w:numPr>
          <w:ilvl w:val="0"/>
          <w:numId w:val="1"/>
        </w:numPr>
        <w:jc w:val="both"/>
      </w:pPr>
      <w:r>
        <w:t>Marketing</w:t>
      </w:r>
    </w:p>
    <w:p w:rsidR="009666A7" w:rsidRDefault="009666A7" w:rsidP="00071DF3">
      <w:pPr>
        <w:pStyle w:val="ListParagraph"/>
        <w:numPr>
          <w:ilvl w:val="0"/>
          <w:numId w:val="1"/>
        </w:numPr>
        <w:jc w:val="both"/>
      </w:pPr>
      <w:r>
        <w:t>General administration</w:t>
      </w:r>
    </w:p>
    <w:p w:rsidR="0011487D" w:rsidRDefault="0011487D" w:rsidP="00071DF3">
      <w:pPr>
        <w:jc w:val="both"/>
      </w:pPr>
    </w:p>
    <w:p w:rsidR="00F87FB0" w:rsidRDefault="00F87FB0" w:rsidP="00071DF3">
      <w:pPr>
        <w:jc w:val="both"/>
      </w:pPr>
      <w:r>
        <w:t>At any given time there may also be one-off projects in progress.</w:t>
      </w:r>
    </w:p>
    <w:p w:rsidR="00F87FB0" w:rsidRDefault="00F87FB0" w:rsidP="00071DF3">
      <w:pPr>
        <w:jc w:val="both"/>
      </w:pPr>
    </w:p>
    <w:p w:rsidR="009666A7" w:rsidRDefault="00BD24E1" w:rsidP="00071DF3">
      <w:pPr>
        <w:jc w:val="both"/>
      </w:pPr>
      <w:r>
        <w:t>Underpinning the business activities</w:t>
      </w:r>
      <w:r w:rsidR="009666A7">
        <w:t xml:space="preserve"> is the Support Team and the Consortium needs to ensure sufficient reserves to meet salary costs and/or costs associated with redundancy.</w:t>
      </w:r>
    </w:p>
    <w:p w:rsidR="0011487D" w:rsidRDefault="0011487D" w:rsidP="00071DF3">
      <w:pPr>
        <w:jc w:val="both"/>
      </w:pPr>
    </w:p>
    <w:p w:rsidR="0011487D" w:rsidRDefault="0011487D" w:rsidP="00071DF3">
      <w:pPr>
        <w:jc w:val="both"/>
      </w:pPr>
      <w:r>
        <w:t xml:space="preserve">Many of the activities rely on a robust IT infrastructure and there needs to be sufficient reserves to </w:t>
      </w:r>
      <w:r w:rsidR="002748D5">
        <w:t xml:space="preserve">ensure that </w:t>
      </w:r>
      <w:r w:rsidR="00F60A9B">
        <w:t xml:space="preserve">maintenance and support for systems can continue </w:t>
      </w:r>
      <w:proofErr w:type="gramStart"/>
      <w:r w:rsidR="00F60A9B">
        <w:t>in</w:t>
      </w:r>
      <w:proofErr w:type="gramEnd"/>
      <w:r w:rsidR="00F60A9B">
        <w:t xml:space="preserve"> the event of a dip in income</w:t>
      </w:r>
    </w:p>
    <w:p w:rsidR="0011487D" w:rsidRDefault="0011487D" w:rsidP="00071DF3">
      <w:pPr>
        <w:jc w:val="both"/>
      </w:pPr>
    </w:p>
    <w:p w:rsidR="00980699" w:rsidRPr="000E4DFA" w:rsidRDefault="00980699" w:rsidP="00071DF3">
      <w:pPr>
        <w:jc w:val="both"/>
        <w:rPr>
          <w:b/>
        </w:rPr>
      </w:pPr>
      <w:r w:rsidRPr="000E4DFA">
        <w:rPr>
          <w:b/>
        </w:rPr>
        <w:t>Risk register</w:t>
      </w:r>
    </w:p>
    <w:p w:rsidR="00AC7077" w:rsidRDefault="00980699" w:rsidP="00071DF3">
      <w:pPr>
        <w:jc w:val="both"/>
      </w:pPr>
      <w:r>
        <w:t xml:space="preserve">The Consortium’s </w:t>
      </w:r>
      <w:r w:rsidR="00AC7077">
        <w:t xml:space="preserve">reserves are linked </w:t>
      </w:r>
      <w:r w:rsidR="00A57E91">
        <w:t>to</w:t>
      </w:r>
      <w:r w:rsidR="00AC7077">
        <w:t xml:space="preserve"> its risk register. This is reviewed by the Steering Group on an annual basis and any changes with financial implications are reflected in the reserves that are held </w:t>
      </w:r>
      <w:r w:rsidR="00E85743">
        <w:t>in the following financial year</w:t>
      </w:r>
      <w:r w:rsidR="00A57E91">
        <w:t>. A full review is conducted every three years.</w:t>
      </w:r>
      <w:r w:rsidR="00AC7077">
        <w:t xml:space="preserve"> </w:t>
      </w:r>
    </w:p>
    <w:p w:rsidR="00AC7077" w:rsidRDefault="00AC7077" w:rsidP="00071DF3">
      <w:pPr>
        <w:jc w:val="both"/>
      </w:pPr>
    </w:p>
    <w:p w:rsidR="00980699" w:rsidRDefault="00A061D7" w:rsidP="00071DF3">
      <w:pPr>
        <w:jc w:val="both"/>
      </w:pPr>
      <w:r>
        <w:t xml:space="preserve">The elements of the </w:t>
      </w:r>
      <w:r w:rsidR="00980699">
        <w:t xml:space="preserve">risk register </w:t>
      </w:r>
      <w:r w:rsidR="000E4DFA">
        <w:t xml:space="preserve">that </w:t>
      </w:r>
      <w:r>
        <w:t xml:space="preserve">could </w:t>
      </w:r>
      <w:r w:rsidR="000E4DFA">
        <w:t>incur financial costs</w:t>
      </w:r>
      <w:r>
        <w:t xml:space="preserve"> are:</w:t>
      </w:r>
    </w:p>
    <w:p w:rsidR="000E4DFA" w:rsidRDefault="000E4DFA" w:rsidP="00071DF3">
      <w:pPr>
        <w:jc w:val="both"/>
      </w:pPr>
    </w:p>
    <w:p w:rsidR="000E4DFA" w:rsidRDefault="000E4DFA" w:rsidP="00071DF3">
      <w:pPr>
        <w:jc w:val="both"/>
      </w:pPr>
    </w:p>
    <w:p w:rsidR="000E4DFA" w:rsidRDefault="00A061D7" w:rsidP="00071DF3">
      <w:pPr>
        <w:pStyle w:val="ListParagraph"/>
        <w:numPr>
          <w:ilvl w:val="0"/>
          <w:numId w:val="2"/>
        </w:numPr>
        <w:jc w:val="both"/>
      </w:pPr>
      <w:r>
        <w:t>Salaries for t</w:t>
      </w:r>
      <w:r w:rsidR="006106B1">
        <w:t>emporary s</w:t>
      </w:r>
      <w:r w:rsidR="00610E0E">
        <w:t>taffing</w:t>
      </w:r>
      <w:r w:rsidR="00211554">
        <w:t xml:space="preserve"> in the event of prolonged absence/vacancies</w:t>
      </w:r>
    </w:p>
    <w:p w:rsidR="00211554" w:rsidRDefault="00211554" w:rsidP="00071DF3">
      <w:pPr>
        <w:pStyle w:val="ListParagraph"/>
        <w:numPr>
          <w:ilvl w:val="0"/>
          <w:numId w:val="2"/>
        </w:numPr>
        <w:jc w:val="both"/>
      </w:pPr>
      <w:r>
        <w:t>Redundancy costs</w:t>
      </w:r>
    </w:p>
    <w:p w:rsidR="000E4DFA" w:rsidRDefault="000E4DFA" w:rsidP="00071DF3">
      <w:pPr>
        <w:pStyle w:val="ListParagraph"/>
        <w:numPr>
          <w:ilvl w:val="0"/>
          <w:numId w:val="2"/>
        </w:numPr>
        <w:jc w:val="both"/>
      </w:pPr>
      <w:r>
        <w:t xml:space="preserve">cpd25 </w:t>
      </w:r>
      <w:r w:rsidR="00610E0E">
        <w:t>activities</w:t>
      </w:r>
      <w:r w:rsidR="00211554">
        <w:t xml:space="preserve"> e.g. speakers fees/venue hire in the event of </w:t>
      </w:r>
      <w:r w:rsidR="0038497F">
        <w:t>cancellation</w:t>
      </w:r>
    </w:p>
    <w:p w:rsidR="000E4DFA" w:rsidRDefault="00A061D7" w:rsidP="00071DF3">
      <w:pPr>
        <w:pStyle w:val="ListParagraph"/>
        <w:numPr>
          <w:ilvl w:val="0"/>
          <w:numId w:val="2"/>
        </w:numPr>
        <w:jc w:val="both"/>
      </w:pPr>
      <w:r>
        <w:t>Maintenance agreements for technical systems</w:t>
      </w:r>
    </w:p>
    <w:p w:rsidR="00211554" w:rsidRDefault="00211554" w:rsidP="00071DF3">
      <w:pPr>
        <w:pStyle w:val="ListParagraph"/>
        <w:numPr>
          <w:ilvl w:val="0"/>
          <w:numId w:val="2"/>
        </w:numPr>
        <w:jc w:val="both"/>
      </w:pPr>
      <w:r>
        <w:lastRenderedPageBreak/>
        <w:t>Loss of income due to decline in members</w:t>
      </w:r>
    </w:p>
    <w:p w:rsidR="006106B1" w:rsidRDefault="006106B1" w:rsidP="00071DF3">
      <w:pPr>
        <w:jc w:val="both"/>
      </w:pPr>
    </w:p>
    <w:p w:rsidR="00ED7AD5" w:rsidRPr="00067F4A" w:rsidRDefault="00187002" w:rsidP="00071DF3">
      <w:pPr>
        <w:jc w:val="both"/>
        <w:rPr>
          <w:i/>
        </w:rPr>
      </w:pPr>
      <w:r w:rsidRPr="00067F4A">
        <w:rPr>
          <w:i/>
        </w:rPr>
        <w:t xml:space="preserve">cpd25 </w:t>
      </w:r>
      <w:r w:rsidR="00067F4A" w:rsidRPr="00067F4A">
        <w:rPr>
          <w:i/>
        </w:rPr>
        <w:t>activities</w:t>
      </w:r>
      <w:r w:rsidRPr="00067F4A">
        <w:rPr>
          <w:i/>
        </w:rPr>
        <w:t xml:space="preserve"> </w:t>
      </w:r>
    </w:p>
    <w:p w:rsidR="000E4DFA" w:rsidRDefault="00ED7AD5" w:rsidP="00071DF3">
      <w:pPr>
        <w:jc w:val="both"/>
      </w:pPr>
      <w:r>
        <w:t xml:space="preserve">Event </w:t>
      </w:r>
      <w:r w:rsidR="00187002">
        <w:t>are organised on a cost-recovery basis and therefore the risk associated them is low. However there is usually a period at the start of each year</w:t>
      </w:r>
      <w:r w:rsidR="00261882">
        <w:t>, before income has been received,</w:t>
      </w:r>
      <w:r w:rsidR="00187002">
        <w:t xml:space="preserve"> when </w:t>
      </w:r>
      <w:r w:rsidR="00261882">
        <w:t>it is necessary to pay invoices for venues, catering etc. A portion of the reserves is therefore retained to bridge this gap.</w:t>
      </w:r>
    </w:p>
    <w:p w:rsidR="009C3BAC" w:rsidRDefault="009C3BAC" w:rsidP="00071DF3">
      <w:pPr>
        <w:jc w:val="both"/>
      </w:pPr>
    </w:p>
    <w:p w:rsidR="007C165B" w:rsidRDefault="007C165B" w:rsidP="00071DF3">
      <w:pPr>
        <w:jc w:val="both"/>
      </w:pPr>
    </w:p>
    <w:p w:rsidR="007C165B" w:rsidRDefault="007C165B" w:rsidP="00071DF3">
      <w:pPr>
        <w:jc w:val="both"/>
      </w:pPr>
      <w:r>
        <w:t xml:space="preserve">It is highly unlikely that all the hazards would occur in a single year, however for the sake of </w:t>
      </w:r>
      <w:r w:rsidR="00E54ABF">
        <w:t>prudence;</w:t>
      </w:r>
      <w:r>
        <w:t xml:space="preserve"> the </w:t>
      </w:r>
      <w:r w:rsidR="00161BB9">
        <w:t xml:space="preserve">estimated </w:t>
      </w:r>
      <w:r>
        <w:t xml:space="preserve">total will be retained as reserves. This will provide a buffer in the event of </w:t>
      </w:r>
      <w:r w:rsidR="00E54ABF">
        <w:t xml:space="preserve">any </w:t>
      </w:r>
      <w:r>
        <w:t>unexpected financial outlay and provide the opportunity for the Consortium to re-build the reserves.</w:t>
      </w:r>
    </w:p>
    <w:p w:rsidR="00FE6CED" w:rsidRDefault="00FE6CED" w:rsidP="00071DF3">
      <w:pPr>
        <w:jc w:val="both"/>
      </w:pPr>
    </w:p>
    <w:p w:rsidR="00C34575" w:rsidRDefault="00C34575" w:rsidP="00071DF3">
      <w:pPr>
        <w:jc w:val="both"/>
      </w:pPr>
    </w:p>
    <w:p w:rsidR="00B959EA" w:rsidRPr="001C6F5F" w:rsidRDefault="002748D5" w:rsidP="00071DF3">
      <w:pPr>
        <w:jc w:val="both"/>
        <w:rPr>
          <w:b/>
        </w:rPr>
      </w:pPr>
      <w:r w:rsidRPr="001C6F5F">
        <w:rPr>
          <w:b/>
        </w:rPr>
        <w:t>Review process</w:t>
      </w:r>
    </w:p>
    <w:p w:rsidR="00FF782B" w:rsidRDefault="00E516FB" w:rsidP="00071DF3">
      <w:pPr>
        <w:jc w:val="both"/>
      </w:pPr>
      <w:r>
        <w:t>The reserves are reviewed as part of t</w:t>
      </w:r>
      <w:r w:rsidR="00FF782B">
        <w:t>he annual budget cycle and any areas requiring</w:t>
      </w:r>
      <w:r w:rsidR="00A82DC4">
        <w:t xml:space="preserve"> special funding </w:t>
      </w:r>
      <w:r w:rsidR="00867BF7">
        <w:t>are identified and the impact on the reserves discussed by the Steering Group.</w:t>
      </w:r>
      <w:r w:rsidR="00B959EA">
        <w:t xml:space="preserve"> The Treasurer monitors the reserves throughout the year and provides regular reports at Steering Group meetings.</w:t>
      </w:r>
    </w:p>
    <w:p w:rsidR="00867BF7" w:rsidRDefault="00867BF7" w:rsidP="00071DF3">
      <w:pPr>
        <w:jc w:val="both"/>
      </w:pPr>
    </w:p>
    <w:p w:rsidR="001C6F5F" w:rsidRDefault="001C6F5F" w:rsidP="00071DF3">
      <w:pPr>
        <w:jc w:val="both"/>
      </w:pPr>
      <w:r>
        <w:t>There will be a full review of the reserves in relation to the risk register every three years.</w:t>
      </w:r>
    </w:p>
    <w:p w:rsidR="001C6F5F" w:rsidRDefault="001C6F5F" w:rsidP="00071DF3">
      <w:pPr>
        <w:jc w:val="both"/>
      </w:pPr>
    </w:p>
    <w:p w:rsidR="00CA312B" w:rsidRPr="00B93619" w:rsidRDefault="00CA312B" w:rsidP="00071DF3">
      <w:pPr>
        <w:jc w:val="both"/>
        <w:rPr>
          <w:rFonts w:cs="Arial"/>
          <w:i/>
          <w:sz w:val="22"/>
          <w:szCs w:val="22"/>
        </w:rPr>
      </w:pPr>
      <w:r w:rsidRPr="00B93619">
        <w:rPr>
          <w:rFonts w:cs="Arial"/>
          <w:i/>
          <w:sz w:val="22"/>
          <w:szCs w:val="22"/>
        </w:rPr>
        <w:t>Caroline Lloyd, Treasurer</w:t>
      </w:r>
    </w:p>
    <w:p w:rsidR="00EC2595" w:rsidRDefault="00EC2595" w:rsidP="00071DF3">
      <w:pPr>
        <w:jc w:val="both"/>
        <w:rPr>
          <w:rFonts w:cs="Arial"/>
          <w:i/>
          <w:sz w:val="22"/>
          <w:szCs w:val="22"/>
        </w:rPr>
      </w:pPr>
    </w:p>
    <w:p w:rsidR="00071DF3" w:rsidRDefault="00EC2595" w:rsidP="00071DF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17</w:t>
      </w:r>
      <w:r w:rsidRPr="003C7B7D">
        <w:rPr>
          <w:rFonts w:cs="Arial"/>
          <w:i/>
          <w:sz w:val="22"/>
          <w:szCs w:val="22"/>
          <w:vertAlign w:val="superscript"/>
        </w:rPr>
        <w:t>th</w:t>
      </w:r>
      <w:r>
        <w:rPr>
          <w:rFonts w:cs="Arial"/>
          <w:i/>
          <w:sz w:val="22"/>
          <w:szCs w:val="22"/>
        </w:rPr>
        <w:t xml:space="preserve"> March 2014</w:t>
      </w:r>
    </w:p>
    <w:p w:rsidR="00EC2595" w:rsidRDefault="00EC2595" w:rsidP="00071DF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Approved at AGM on 29</w:t>
      </w:r>
      <w:r w:rsidRPr="003C7B7D">
        <w:rPr>
          <w:rFonts w:cs="Arial"/>
          <w:i/>
          <w:sz w:val="22"/>
          <w:szCs w:val="22"/>
          <w:vertAlign w:val="superscript"/>
        </w:rPr>
        <w:t>th</w:t>
      </w:r>
      <w:r>
        <w:rPr>
          <w:rFonts w:cs="Arial"/>
          <w:i/>
          <w:sz w:val="22"/>
          <w:szCs w:val="22"/>
        </w:rPr>
        <w:t xml:space="preserve"> April 2014</w:t>
      </w:r>
    </w:p>
    <w:p w:rsidR="00EC2595" w:rsidRPr="00B93619" w:rsidRDefault="00EC2595" w:rsidP="00071DF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Full review due 2017</w:t>
      </w:r>
    </w:p>
    <w:p w:rsidR="00B95158" w:rsidRPr="00B95158" w:rsidRDefault="00B95158" w:rsidP="00071DF3">
      <w:pPr>
        <w:jc w:val="both"/>
        <w:rPr>
          <w:i/>
        </w:rPr>
      </w:pPr>
    </w:p>
    <w:sectPr w:rsidR="00B95158" w:rsidRPr="00B95158" w:rsidSect="00536D6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8A2"/>
    <w:multiLevelType w:val="hybridMultilevel"/>
    <w:tmpl w:val="ADCCD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02D66"/>
    <w:multiLevelType w:val="hybridMultilevel"/>
    <w:tmpl w:val="AD481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6C"/>
    <w:rsid w:val="00067F4A"/>
    <w:rsid w:val="00071DF3"/>
    <w:rsid w:val="00072E97"/>
    <w:rsid w:val="000A324A"/>
    <w:rsid w:val="000B14F7"/>
    <w:rsid w:val="000E4DFA"/>
    <w:rsid w:val="0011487D"/>
    <w:rsid w:val="00161BB9"/>
    <w:rsid w:val="00187002"/>
    <w:rsid w:val="00197C16"/>
    <w:rsid w:val="001A177F"/>
    <w:rsid w:val="001C623F"/>
    <w:rsid w:val="001C6F5F"/>
    <w:rsid w:val="00211554"/>
    <w:rsid w:val="00237C0E"/>
    <w:rsid w:val="0025569E"/>
    <w:rsid w:val="00261882"/>
    <w:rsid w:val="002748D5"/>
    <w:rsid w:val="00286A85"/>
    <w:rsid w:val="002A1F94"/>
    <w:rsid w:val="002A2F2D"/>
    <w:rsid w:val="002E22AC"/>
    <w:rsid w:val="003057D1"/>
    <w:rsid w:val="0038497F"/>
    <w:rsid w:val="003A0140"/>
    <w:rsid w:val="003C1611"/>
    <w:rsid w:val="003C7B7D"/>
    <w:rsid w:val="003D043F"/>
    <w:rsid w:val="003E4173"/>
    <w:rsid w:val="003F614C"/>
    <w:rsid w:val="00441B70"/>
    <w:rsid w:val="0046216C"/>
    <w:rsid w:val="00500D60"/>
    <w:rsid w:val="0051754C"/>
    <w:rsid w:val="00536D63"/>
    <w:rsid w:val="006106B1"/>
    <w:rsid w:val="00610E0E"/>
    <w:rsid w:val="00651ACB"/>
    <w:rsid w:val="00666F68"/>
    <w:rsid w:val="006857E3"/>
    <w:rsid w:val="006B02E8"/>
    <w:rsid w:val="006B1569"/>
    <w:rsid w:val="006E5972"/>
    <w:rsid w:val="007552E3"/>
    <w:rsid w:val="007673EB"/>
    <w:rsid w:val="00767801"/>
    <w:rsid w:val="007A54FD"/>
    <w:rsid w:val="007B7EE9"/>
    <w:rsid w:val="007C165B"/>
    <w:rsid w:val="007C2C15"/>
    <w:rsid w:val="007E6399"/>
    <w:rsid w:val="00807589"/>
    <w:rsid w:val="00867BF7"/>
    <w:rsid w:val="00890071"/>
    <w:rsid w:val="008C633D"/>
    <w:rsid w:val="009072A4"/>
    <w:rsid w:val="00936A76"/>
    <w:rsid w:val="00941147"/>
    <w:rsid w:val="00953AFE"/>
    <w:rsid w:val="009634E9"/>
    <w:rsid w:val="009666A7"/>
    <w:rsid w:val="009737C9"/>
    <w:rsid w:val="00980699"/>
    <w:rsid w:val="00986625"/>
    <w:rsid w:val="009C3BAC"/>
    <w:rsid w:val="009E6D2C"/>
    <w:rsid w:val="009F2F50"/>
    <w:rsid w:val="00A061D7"/>
    <w:rsid w:val="00A13B49"/>
    <w:rsid w:val="00A13F0B"/>
    <w:rsid w:val="00A30319"/>
    <w:rsid w:val="00A57E91"/>
    <w:rsid w:val="00A82DC4"/>
    <w:rsid w:val="00A91BF2"/>
    <w:rsid w:val="00AC7077"/>
    <w:rsid w:val="00AF2FA5"/>
    <w:rsid w:val="00B95158"/>
    <w:rsid w:val="00B959EA"/>
    <w:rsid w:val="00BC7B8F"/>
    <w:rsid w:val="00BD24E1"/>
    <w:rsid w:val="00C30C91"/>
    <w:rsid w:val="00C34575"/>
    <w:rsid w:val="00C63C48"/>
    <w:rsid w:val="00C77FE7"/>
    <w:rsid w:val="00C95452"/>
    <w:rsid w:val="00CA312B"/>
    <w:rsid w:val="00CE7759"/>
    <w:rsid w:val="00D1451E"/>
    <w:rsid w:val="00D7772E"/>
    <w:rsid w:val="00D77D78"/>
    <w:rsid w:val="00D80AD0"/>
    <w:rsid w:val="00D85621"/>
    <w:rsid w:val="00DC0519"/>
    <w:rsid w:val="00DC3880"/>
    <w:rsid w:val="00DC5BDD"/>
    <w:rsid w:val="00DE2A8E"/>
    <w:rsid w:val="00E42181"/>
    <w:rsid w:val="00E516FB"/>
    <w:rsid w:val="00E54ABF"/>
    <w:rsid w:val="00E85743"/>
    <w:rsid w:val="00EA4AAD"/>
    <w:rsid w:val="00EB2824"/>
    <w:rsid w:val="00EC2595"/>
    <w:rsid w:val="00ED5817"/>
    <w:rsid w:val="00ED7AD5"/>
    <w:rsid w:val="00F32F5A"/>
    <w:rsid w:val="00F60A9B"/>
    <w:rsid w:val="00F65508"/>
    <w:rsid w:val="00F83114"/>
    <w:rsid w:val="00F87FB0"/>
    <w:rsid w:val="00FE6CE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D00F8-AE7F-491C-904A-65D76E53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78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5508"/>
    <w:pPr>
      <w:keepNext/>
      <w:jc w:val="right"/>
      <w:outlineLvl w:val="0"/>
    </w:pPr>
    <w:rPr>
      <w:rFonts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550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9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Lloyd</dc:creator>
  <cp:lastModifiedBy>Thomas Baldwin</cp:lastModifiedBy>
  <cp:revision>2</cp:revision>
  <dcterms:created xsi:type="dcterms:W3CDTF">2015-08-28T16:49:00Z</dcterms:created>
  <dcterms:modified xsi:type="dcterms:W3CDTF">2015-08-28T16:49:00Z</dcterms:modified>
</cp:coreProperties>
</file>